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方正小标宋简体" w:hAnsi="FZXBSJW--GB1-0" w:eastAsia="方正小标宋简体" w:cs="宋体"/>
          <w:color w:val="auto"/>
          <w:kern w:val="0"/>
          <w:sz w:val="44"/>
          <w:szCs w:val="44"/>
        </w:rPr>
      </w:pPr>
    </w:p>
    <w:p>
      <w:pPr>
        <w:widowControl/>
        <w:jc w:val="center"/>
        <w:rPr>
          <w:rFonts w:hint="eastAsia" w:ascii="方正小标宋简体" w:hAnsi="FZXBSJW--GB1-0" w:eastAsia="方正小标宋简体" w:cs="宋体"/>
          <w:color w:val="auto"/>
          <w:kern w:val="0"/>
          <w:sz w:val="44"/>
          <w:szCs w:val="44"/>
        </w:rPr>
      </w:pPr>
      <w:r>
        <w:rPr>
          <w:rFonts w:hint="eastAsia" w:ascii="方正小标宋简体" w:hAnsi="FZXBSJW--GB1-0" w:eastAsia="方正小标宋简体" w:cs="宋体"/>
          <w:color w:val="auto"/>
          <w:kern w:val="0"/>
          <w:sz w:val="44"/>
          <w:szCs w:val="44"/>
        </w:rPr>
        <w:t>安徽财经大学 2022年度博士人才分类和引进待遇</w:t>
      </w:r>
    </w:p>
    <w:p>
      <w:pPr>
        <w:widowControl/>
        <w:ind w:firstLine="640" w:firstLineChars="200"/>
        <w:rPr>
          <w:rFonts w:ascii="黑体" w:hAnsi="黑体" w:eastAsia="黑体" w:cs="宋体"/>
          <w:color w:val="auto"/>
          <w:kern w:val="0"/>
          <w:sz w:val="32"/>
          <w:szCs w:val="32"/>
        </w:rPr>
      </w:pP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黑体" w:hAnsi="黑体" w:eastAsia="黑体" w:cs="宋体"/>
          <w:color w:val="auto"/>
          <w:kern w:val="0"/>
          <w:sz w:val="32"/>
          <w:szCs w:val="32"/>
          <w:lang w:eastAsia="zh-CN"/>
        </w:rPr>
      </w:pPr>
      <w:r>
        <w:rPr>
          <w:rFonts w:hint="eastAsia" w:ascii="黑体" w:hAnsi="黑体" w:eastAsia="黑体" w:cs="宋体"/>
          <w:color w:val="auto"/>
          <w:kern w:val="0"/>
          <w:sz w:val="32"/>
          <w:szCs w:val="32"/>
        </w:rPr>
        <w:t>一</w:t>
      </w:r>
      <w:r>
        <w:rPr>
          <w:rFonts w:ascii="黑体" w:hAnsi="黑体" w:eastAsia="黑体" w:cs="宋体"/>
          <w:color w:val="auto"/>
          <w:kern w:val="0"/>
          <w:sz w:val="32"/>
          <w:szCs w:val="32"/>
        </w:rPr>
        <w:t>、</w:t>
      </w:r>
      <w:r>
        <w:rPr>
          <w:rFonts w:hint="eastAsia" w:ascii="黑体" w:hAnsi="黑体" w:eastAsia="黑体" w:cs="宋体"/>
          <w:color w:val="auto"/>
          <w:kern w:val="0"/>
          <w:sz w:val="32"/>
          <w:szCs w:val="32"/>
        </w:rPr>
        <w:t>博士人才分类</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 w:eastAsia="仿宋_GB2312" w:cs="宋体"/>
          <w:color w:val="auto"/>
          <w:kern w:val="0"/>
          <w:sz w:val="32"/>
          <w:szCs w:val="32"/>
          <w:lang w:val="en-US" w:eastAsia="zh-CN"/>
        </w:rPr>
      </w:pPr>
      <w:r>
        <w:rPr>
          <w:rFonts w:hint="eastAsia" w:ascii="仿宋_GB2312" w:hAnsi="仿宋" w:eastAsia="仿宋_GB2312" w:cs="宋体"/>
          <w:color w:val="auto"/>
          <w:kern w:val="0"/>
          <w:sz w:val="32"/>
          <w:szCs w:val="32"/>
        </w:rPr>
        <w:t>应聘教学科研岗位博士应具有较高的思想政治素质和高尚的道德情操，遵纪守法，热爱党的教育事业，具有较好的教学研究能力，同时</w:t>
      </w:r>
      <w:r>
        <w:rPr>
          <w:rFonts w:hint="eastAsia" w:ascii="仿宋_GB2312" w:hAnsi="仿宋" w:eastAsia="仿宋_GB2312" w:cs="宋体"/>
          <w:color w:val="auto"/>
          <w:kern w:val="0"/>
          <w:sz w:val="32"/>
          <w:szCs w:val="32"/>
        </w:rPr>
        <w:t>近五年</w:t>
      </w:r>
      <w:r>
        <w:rPr>
          <w:rFonts w:hint="eastAsia" w:ascii="仿宋_GB2312" w:hAnsi="仿宋" w:eastAsia="仿宋_GB2312" w:cs="宋体"/>
          <w:color w:val="auto"/>
          <w:kern w:val="0"/>
          <w:sz w:val="32"/>
          <w:szCs w:val="32"/>
        </w:rPr>
        <w:t>取得较好科研业绩，根据博士个人综合素质和</w:t>
      </w:r>
      <w:r>
        <w:rPr>
          <w:rFonts w:hint="eastAsia" w:ascii="仿宋_GB2312" w:hAnsi="仿宋" w:eastAsia="仿宋_GB2312" w:cs="宋体"/>
          <w:color w:val="auto"/>
          <w:kern w:val="0"/>
          <w:sz w:val="32"/>
          <w:szCs w:val="32"/>
        </w:rPr>
        <w:t>近五年</w:t>
      </w:r>
      <w:r>
        <w:rPr>
          <w:rFonts w:hint="eastAsia" w:ascii="仿宋_GB2312" w:hAnsi="仿宋" w:eastAsia="仿宋_GB2312" w:cs="宋体"/>
          <w:color w:val="auto"/>
          <w:kern w:val="0"/>
          <w:sz w:val="32"/>
          <w:szCs w:val="32"/>
        </w:rPr>
        <w:t>来的科研业绩，分为以下三个层次。</w:t>
      </w:r>
      <w:r>
        <w:rPr>
          <w:rFonts w:hint="eastAsia" w:ascii="仿宋_GB2312" w:hAnsi="仿宋" w:eastAsia="仿宋_GB2312" w:cs="宋体"/>
          <w:color w:val="auto"/>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楷体_GB2312" w:hAnsi="仿宋" w:eastAsia="楷体_GB2312" w:cs="宋体"/>
          <w:b/>
          <w:color w:val="auto"/>
          <w:kern w:val="0"/>
          <w:sz w:val="32"/>
          <w:szCs w:val="32"/>
          <w:lang w:eastAsia="zh-CN"/>
        </w:rPr>
      </w:pPr>
      <w:r>
        <w:rPr>
          <w:rFonts w:hint="eastAsia" w:ascii="楷体_GB2312" w:hAnsi="仿宋" w:eastAsia="楷体_GB2312" w:cs="宋体"/>
          <w:b/>
          <w:color w:val="auto"/>
          <w:kern w:val="0"/>
          <w:sz w:val="32"/>
          <w:szCs w:val="32"/>
        </w:rPr>
        <w:t>第一层次，符合下列条件之一：</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1.在 A 级以上（含A 级）期刊发表论文1篇以上，或在 B 级期刊发表论文2篇以上；</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2.在 B 级期刊发表论文1篇以上，同时在 C 级期刊发表论文2篇以上（含 CSSCI,CSCD来源期刊和 SCI,SSCI和EI 检索源期刊）；</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3.在 C 级期刊发表论文5篇以上（含 CSSCI,CSCD来源期刊和 SCI,SSCI和EI 检索源期刊）；</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4.主持A 级以上（含A级）科研项目 1 项。</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楷体_GB2312" w:hAnsi="仿宋" w:eastAsia="楷体_GB2312" w:cs="宋体"/>
          <w:b/>
          <w:color w:val="auto"/>
          <w:kern w:val="0"/>
          <w:sz w:val="32"/>
          <w:szCs w:val="32"/>
        </w:rPr>
      </w:pPr>
      <w:r>
        <w:rPr>
          <w:rFonts w:hint="eastAsia" w:ascii="楷体_GB2312" w:hAnsi="仿宋" w:eastAsia="楷体_GB2312" w:cs="宋体"/>
          <w:b/>
          <w:color w:val="auto"/>
          <w:kern w:val="0"/>
          <w:sz w:val="32"/>
          <w:szCs w:val="32"/>
        </w:rPr>
        <w:t>第二层次，符合下列条件之一：</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1.在 B 级期刊发表论文1篇以上；</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 w:eastAsia="仿宋_GB2312" w:cs="宋体"/>
          <w:color w:val="auto"/>
          <w:kern w:val="0"/>
          <w:sz w:val="32"/>
          <w:szCs w:val="32"/>
          <w:lang w:eastAsia="zh-CN"/>
        </w:rPr>
      </w:pPr>
      <w:r>
        <w:rPr>
          <w:rFonts w:hint="eastAsia" w:ascii="仿宋_GB2312" w:hAnsi="仿宋" w:eastAsia="仿宋_GB2312" w:cs="宋体"/>
          <w:color w:val="auto"/>
          <w:kern w:val="0"/>
          <w:sz w:val="32"/>
          <w:szCs w:val="32"/>
        </w:rPr>
        <w:t>2.在 C 级期刊发表论文3篇以上（含 CSSCI,CSCD来源期刊和 SCI,SSCI和EI 检索源期刊）。</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 w:eastAsia="仿宋_GB2312" w:cs="宋体"/>
          <w:color w:val="auto"/>
          <w:kern w:val="0"/>
          <w:sz w:val="32"/>
          <w:szCs w:val="32"/>
          <w:lang w:eastAsia="zh-CN"/>
        </w:rPr>
      </w:pPr>
      <w:r>
        <w:rPr>
          <w:rFonts w:hint="eastAsia" w:ascii="楷体_GB2312" w:hAnsi="仿宋" w:eastAsia="楷体_GB2312" w:cs="宋体"/>
          <w:b/>
          <w:color w:val="auto"/>
          <w:kern w:val="0"/>
          <w:sz w:val="32"/>
          <w:szCs w:val="32"/>
        </w:rPr>
        <w:t>第三层次，胜任教学科研岗位要求的博士</w:t>
      </w:r>
      <w:r>
        <w:rPr>
          <w:rFonts w:hint="eastAsia" w:ascii="仿宋_GB2312" w:hAnsi="仿宋" w:eastAsia="仿宋_GB2312" w:cs="宋体"/>
          <w:color w:val="auto"/>
          <w:kern w:val="0"/>
          <w:sz w:val="32"/>
          <w:szCs w:val="32"/>
        </w:rPr>
        <w:t>。</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 w:eastAsia="仿宋_GB2312" w:cs="宋体"/>
          <w:color w:val="auto"/>
          <w:kern w:val="0"/>
          <w:sz w:val="32"/>
          <w:szCs w:val="32"/>
          <w:lang w:eastAsia="zh-CN"/>
        </w:rPr>
      </w:pPr>
      <w:r>
        <w:rPr>
          <w:rFonts w:hint="eastAsia" w:ascii="仿宋_GB2312" w:hAnsi="仿宋" w:eastAsia="仿宋_GB2312" w:cs="宋体"/>
          <w:color w:val="auto"/>
          <w:kern w:val="0"/>
          <w:sz w:val="32"/>
          <w:szCs w:val="32"/>
        </w:rPr>
        <w:t>备注：论文</w:t>
      </w:r>
      <w:r>
        <w:rPr>
          <w:rFonts w:ascii="仿宋_GB2312" w:hAnsi="仿宋" w:eastAsia="仿宋_GB2312" w:cs="宋体"/>
          <w:color w:val="auto"/>
          <w:kern w:val="0"/>
          <w:sz w:val="32"/>
          <w:szCs w:val="32"/>
        </w:rPr>
        <w:t>发表时间在</w:t>
      </w:r>
      <w:r>
        <w:rPr>
          <w:rFonts w:hint="eastAsia" w:ascii="仿宋_GB2312" w:hAnsi="仿宋" w:eastAsia="仿宋_GB2312" w:cs="宋体"/>
          <w:color w:val="auto"/>
          <w:kern w:val="0"/>
          <w:sz w:val="32"/>
          <w:szCs w:val="32"/>
        </w:rPr>
        <w:t>2021年8月1日</w:t>
      </w:r>
      <w:r>
        <w:rPr>
          <w:rFonts w:ascii="仿宋_GB2312" w:hAnsi="仿宋" w:eastAsia="仿宋_GB2312" w:cs="宋体"/>
          <w:color w:val="auto"/>
          <w:kern w:val="0"/>
          <w:sz w:val="32"/>
          <w:szCs w:val="32"/>
        </w:rPr>
        <w:t>前，</w:t>
      </w:r>
      <w:r>
        <w:rPr>
          <w:rFonts w:hint="eastAsia" w:ascii="仿宋_GB2312" w:hAnsi="仿宋" w:eastAsia="仿宋_GB2312" w:cs="宋体"/>
          <w:color w:val="auto"/>
          <w:kern w:val="0"/>
          <w:sz w:val="32"/>
          <w:szCs w:val="32"/>
        </w:rPr>
        <w:t>其期刊分类按照《安徽财经大学学术期刊目录》（2019）执行；</w:t>
      </w:r>
      <w:r>
        <w:rPr>
          <w:rFonts w:ascii="仿宋_GB2312" w:hAnsi="仿宋" w:eastAsia="仿宋_GB2312" w:cs="宋体"/>
          <w:color w:val="auto"/>
          <w:kern w:val="0"/>
          <w:sz w:val="32"/>
          <w:szCs w:val="32"/>
        </w:rPr>
        <w:t>论文发表时间在在</w:t>
      </w:r>
      <w:r>
        <w:rPr>
          <w:rFonts w:hint="eastAsia" w:ascii="仿宋_GB2312" w:hAnsi="仿宋" w:eastAsia="仿宋_GB2312" w:cs="宋体"/>
          <w:color w:val="auto"/>
          <w:kern w:val="0"/>
          <w:sz w:val="32"/>
          <w:szCs w:val="32"/>
        </w:rPr>
        <w:t>2021年8月1日后</w:t>
      </w:r>
      <w:r>
        <w:rPr>
          <w:rFonts w:ascii="仿宋_GB2312" w:hAnsi="仿宋" w:eastAsia="仿宋_GB2312" w:cs="宋体"/>
          <w:color w:val="auto"/>
          <w:kern w:val="0"/>
          <w:sz w:val="32"/>
          <w:szCs w:val="32"/>
        </w:rPr>
        <w:t>，</w:t>
      </w:r>
      <w:r>
        <w:rPr>
          <w:rFonts w:hint="eastAsia" w:ascii="仿宋_GB2312" w:hAnsi="仿宋" w:eastAsia="仿宋_GB2312" w:cs="宋体"/>
          <w:color w:val="auto"/>
          <w:kern w:val="0"/>
          <w:sz w:val="32"/>
          <w:szCs w:val="32"/>
        </w:rPr>
        <w:t>其期刊分类按照《安徽财经大学学术期刊目录》（2021）执行。</w:t>
      </w:r>
      <w:r>
        <w:rPr>
          <w:rFonts w:hint="eastAsia" w:ascii="仿宋_GB2312" w:hAnsi="仿宋" w:eastAsia="仿宋_GB2312" w:cs="宋体"/>
          <w:color w:val="auto"/>
          <w:kern w:val="0"/>
          <w:sz w:val="32"/>
          <w:szCs w:val="32"/>
        </w:rPr>
        <w:t xml:space="preserve">SCI、SSCI 和 EI </w:t>
      </w:r>
      <w:r>
        <w:rPr>
          <w:rStyle w:val="7"/>
          <w:rFonts w:hint="default"/>
          <w:color w:val="auto"/>
        </w:rPr>
        <w:t>检索源</w:t>
      </w:r>
      <w:r>
        <w:rPr>
          <w:rFonts w:hint="eastAsia" w:ascii="仿宋_GB2312" w:hAnsi="仿宋" w:eastAsia="仿宋_GB2312" w:cs="宋体"/>
          <w:color w:val="auto"/>
          <w:kern w:val="0"/>
          <w:sz w:val="32"/>
          <w:szCs w:val="32"/>
        </w:rPr>
        <w:t>期刊是第一作者或通讯作者，其它成果均为第一作者， 其博士指导教师第一作者，个人第二作者的视同为第一作者。</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ascii="黑体" w:hAnsi="黑体" w:eastAsia="黑体" w:cs="宋体"/>
          <w:color w:val="auto"/>
          <w:kern w:val="0"/>
          <w:sz w:val="32"/>
          <w:szCs w:val="32"/>
        </w:rPr>
      </w:pPr>
      <w:r>
        <w:rPr>
          <w:rFonts w:hint="eastAsia" w:ascii="黑体" w:hAnsi="黑体" w:eastAsia="黑体" w:cs="宋体"/>
          <w:color w:val="auto"/>
          <w:kern w:val="0"/>
          <w:sz w:val="32"/>
          <w:szCs w:val="32"/>
        </w:rPr>
        <w:t>二、 博士引进待遇</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176"/>
        <w:gridCol w:w="1087"/>
        <w:gridCol w:w="1418"/>
        <w:gridCol w:w="1692"/>
        <w:gridCol w:w="1274"/>
        <w:gridCol w:w="16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1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 xml:space="preserve">人才类别 </w:t>
            </w:r>
          </w:p>
        </w:tc>
        <w:tc>
          <w:tcPr>
            <w:tcW w:w="1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 xml:space="preserve">总待遇 </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购房补</w:t>
            </w:r>
            <w:r>
              <w:rPr>
                <w:rFonts w:hint="eastAsia" w:cs="宋体" w:asciiTheme="minorEastAsia" w:hAnsiTheme="minorEastAsia"/>
                <w:color w:val="auto"/>
                <w:kern w:val="0"/>
                <w:sz w:val="24"/>
                <w:szCs w:val="24"/>
                <w:lang w:eastAsia="zh-CN"/>
              </w:rPr>
              <w:t>贴与</w:t>
            </w:r>
            <w:r>
              <w:rPr>
                <w:rFonts w:hint="eastAsia" w:cs="宋体" w:asciiTheme="minorEastAsia" w:hAnsiTheme="minorEastAsia"/>
                <w:color w:val="auto"/>
                <w:kern w:val="0"/>
                <w:sz w:val="24"/>
                <w:szCs w:val="24"/>
              </w:rPr>
              <w:t>安家</w:t>
            </w:r>
            <w:r>
              <w:rPr>
                <w:rFonts w:hint="eastAsia" w:cs="宋体" w:asciiTheme="minorEastAsia" w:hAnsiTheme="minorEastAsia"/>
                <w:color w:val="auto"/>
                <w:kern w:val="0"/>
                <w:sz w:val="24"/>
                <w:szCs w:val="24"/>
                <w:lang w:eastAsia="zh-CN"/>
              </w:rPr>
              <w:t>费</w:t>
            </w:r>
            <w:r>
              <w:rPr>
                <w:rFonts w:hint="eastAsia" w:cs="宋体" w:asciiTheme="minorEastAsia" w:hAnsiTheme="minorEastAsia"/>
                <w:color w:val="auto"/>
                <w:kern w:val="0"/>
                <w:sz w:val="24"/>
                <w:szCs w:val="24"/>
              </w:rPr>
              <w:t xml:space="preserve"> </w:t>
            </w:r>
          </w:p>
        </w:tc>
        <w:tc>
          <w:tcPr>
            <w:tcW w:w="16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科研</w:t>
            </w:r>
            <w:r>
              <w:rPr>
                <w:rFonts w:hint="eastAsia" w:cs="宋体" w:asciiTheme="minorEastAsia" w:hAnsiTheme="minorEastAsia"/>
                <w:color w:val="auto"/>
                <w:kern w:val="0"/>
                <w:sz w:val="24"/>
                <w:szCs w:val="24"/>
                <w:lang w:eastAsia="zh-CN"/>
              </w:rPr>
              <w:t>启动</w:t>
            </w:r>
            <w:bookmarkStart w:id="0" w:name="_GoBack"/>
            <w:bookmarkEnd w:id="0"/>
            <w:r>
              <w:rPr>
                <w:rFonts w:hint="eastAsia" w:cs="宋体" w:asciiTheme="minorEastAsia" w:hAnsiTheme="minorEastAsia"/>
                <w:color w:val="auto"/>
                <w:kern w:val="0"/>
                <w:sz w:val="24"/>
                <w:szCs w:val="24"/>
              </w:rPr>
              <w:t xml:space="preserve">经费 </w:t>
            </w:r>
          </w:p>
        </w:tc>
        <w:tc>
          <w:tcPr>
            <w:tcW w:w="1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 xml:space="preserve">过渡房或租住贴房 </w:t>
            </w:r>
          </w:p>
        </w:tc>
        <w:tc>
          <w:tcPr>
            <w:tcW w:w="16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浮动待遇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1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 xml:space="preserve">第一层次 </w:t>
            </w:r>
          </w:p>
        </w:tc>
        <w:tc>
          <w:tcPr>
            <w:tcW w:w="1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80-1</w:t>
            </w:r>
            <w:r>
              <w:rPr>
                <w:rFonts w:cs="宋体" w:asciiTheme="minorEastAsia" w:hAnsiTheme="minorEastAsia"/>
                <w:color w:val="auto"/>
                <w:kern w:val="0"/>
                <w:sz w:val="24"/>
                <w:szCs w:val="24"/>
              </w:rPr>
              <w:t>3</w:t>
            </w:r>
            <w:r>
              <w:rPr>
                <w:rFonts w:hint="eastAsia" w:cs="宋体" w:asciiTheme="minorEastAsia" w:hAnsiTheme="minorEastAsia"/>
                <w:color w:val="auto"/>
                <w:kern w:val="0"/>
                <w:sz w:val="24"/>
                <w:szCs w:val="24"/>
              </w:rPr>
              <w:t>0万元</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72万元（ 其中安 家费10万元）</w:t>
            </w:r>
          </w:p>
        </w:tc>
        <w:tc>
          <w:tcPr>
            <w:tcW w:w="16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rPr>
                <w:rFonts w:hint="eastAsia" w:cs="宋体" w:asciiTheme="minorEastAsia" w:hAnsiTheme="minorEastAsia" w:eastAsiaTheme="minorEastAsia"/>
                <w:color w:val="auto"/>
                <w:kern w:val="0"/>
                <w:sz w:val="24"/>
                <w:szCs w:val="24"/>
                <w:lang w:eastAsia="zh-CN"/>
              </w:rPr>
            </w:pPr>
            <w:r>
              <w:rPr>
                <w:rFonts w:hint="eastAsia" w:cs="宋体" w:asciiTheme="minorEastAsia" w:hAnsiTheme="minorEastAsia"/>
                <w:color w:val="auto"/>
                <w:kern w:val="0"/>
                <w:sz w:val="24"/>
                <w:szCs w:val="24"/>
              </w:rPr>
              <w:t>社科：8万元</w:t>
            </w:r>
          </w:p>
          <w:p>
            <w:pPr>
              <w:keepNext w:val="0"/>
              <w:keepLines w:val="0"/>
              <w:pageBreakBefore w:val="0"/>
              <w:widowControl/>
              <w:kinsoku/>
              <w:wordWrap/>
              <w:overflowPunct/>
              <w:topLinePunct w:val="0"/>
              <w:autoSpaceDE/>
              <w:autoSpaceDN/>
              <w:bidi w:val="0"/>
              <w:adjustRightInd/>
              <w:snapToGrid/>
              <w:jc w:val="left"/>
              <w:textAlignment w:val="auto"/>
              <w:rPr>
                <w:rFonts w:hint="eastAsia" w:cs="宋体" w:asciiTheme="minorEastAsia" w:hAnsiTheme="minorEastAsia" w:eastAsiaTheme="minorEastAsia"/>
                <w:color w:val="auto"/>
                <w:kern w:val="0"/>
                <w:sz w:val="24"/>
                <w:szCs w:val="24"/>
                <w:lang w:eastAsia="zh-CN"/>
              </w:rPr>
            </w:pPr>
            <w:r>
              <w:rPr>
                <w:rFonts w:hint="eastAsia" w:cs="宋体" w:asciiTheme="minorEastAsia" w:hAnsiTheme="minorEastAsia"/>
                <w:color w:val="auto"/>
                <w:kern w:val="0"/>
                <w:sz w:val="24"/>
                <w:szCs w:val="24"/>
              </w:rPr>
              <w:t>理工：10万</w:t>
            </w:r>
          </w:p>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 xml:space="preserve">元 </w:t>
            </w:r>
          </w:p>
        </w:tc>
        <w:tc>
          <w:tcPr>
            <w:tcW w:w="127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1.2万元/年（3年） 或三年期过渡住房一套</w:t>
            </w:r>
          </w:p>
        </w:tc>
        <w:tc>
          <w:tcPr>
            <w:tcW w:w="164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博士后或有一年以上海外学习进修经历购房补贴上浮 5-10万元，入职三年内取得相应科研成果购房补贴最高可以增加30万元。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1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 xml:space="preserve">第二层次 </w:t>
            </w:r>
          </w:p>
        </w:tc>
        <w:tc>
          <w:tcPr>
            <w:tcW w:w="1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 xml:space="preserve">70-120万元 </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63万元（其中安家费8万元）</w:t>
            </w:r>
          </w:p>
        </w:tc>
        <w:tc>
          <w:tcPr>
            <w:tcW w:w="16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rPr>
                <w:rFonts w:hint="eastAsia" w:cs="宋体" w:asciiTheme="minorEastAsia" w:hAnsiTheme="minorEastAsia" w:eastAsiaTheme="minorEastAsia"/>
                <w:color w:val="auto"/>
                <w:kern w:val="0"/>
                <w:sz w:val="24"/>
                <w:szCs w:val="24"/>
                <w:lang w:eastAsia="zh-CN"/>
              </w:rPr>
            </w:pPr>
            <w:r>
              <w:rPr>
                <w:rFonts w:hint="eastAsia" w:cs="宋体" w:asciiTheme="minorEastAsia" w:hAnsiTheme="minorEastAsia"/>
                <w:color w:val="auto"/>
                <w:kern w:val="0"/>
                <w:sz w:val="24"/>
                <w:szCs w:val="24"/>
              </w:rPr>
              <w:t>社科：7万元</w:t>
            </w:r>
          </w:p>
          <w:p>
            <w:pPr>
              <w:keepNext w:val="0"/>
              <w:keepLines w:val="0"/>
              <w:pageBreakBefore w:val="0"/>
              <w:widowControl/>
              <w:kinsoku/>
              <w:wordWrap/>
              <w:overflowPunct/>
              <w:topLinePunct w:val="0"/>
              <w:autoSpaceDE/>
              <w:autoSpaceDN/>
              <w:bidi w:val="0"/>
              <w:adjustRightInd/>
              <w:snapToGrid/>
              <w:jc w:val="left"/>
              <w:textAlignment w:val="auto"/>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理工：9万元</w:t>
            </w:r>
          </w:p>
        </w:tc>
        <w:tc>
          <w:tcPr>
            <w:tcW w:w="0" w:type="auto"/>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cs="Times New Roman" w:asciiTheme="minorEastAsia" w:hAnsiTheme="minorEastAsia"/>
                <w:color w:val="auto"/>
                <w:kern w:val="0"/>
                <w:sz w:val="24"/>
                <w:szCs w:val="24"/>
              </w:rPr>
            </w:pPr>
          </w:p>
        </w:tc>
        <w:tc>
          <w:tcPr>
            <w:tcW w:w="0" w:type="auto"/>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cs="Times New Roman" w:asciiTheme="minorEastAsia" w:hAnsiTheme="minorEastAsia"/>
                <w:color w:val="auto"/>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1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 xml:space="preserve">第三层次 </w:t>
            </w:r>
          </w:p>
        </w:tc>
        <w:tc>
          <w:tcPr>
            <w:tcW w:w="1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 xml:space="preserve">60-110万元 </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54万元（其中安家费6万元）</w:t>
            </w:r>
          </w:p>
        </w:tc>
        <w:tc>
          <w:tcPr>
            <w:tcW w:w="16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rPr>
                <w:rFonts w:hint="eastAsia" w:cs="宋体" w:asciiTheme="minorEastAsia" w:hAnsiTheme="minorEastAsia" w:eastAsiaTheme="minorEastAsia"/>
                <w:color w:val="auto"/>
                <w:kern w:val="0"/>
                <w:sz w:val="24"/>
                <w:szCs w:val="24"/>
                <w:lang w:eastAsia="zh-CN"/>
              </w:rPr>
            </w:pPr>
            <w:r>
              <w:rPr>
                <w:rFonts w:hint="eastAsia" w:cs="宋体" w:asciiTheme="minorEastAsia" w:hAnsiTheme="minorEastAsia"/>
                <w:color w:val="auto"/>
                <w:kern w:val="0"/>
                <w:sz w:val="24"/>
                <w:szCs w:val="24"/>
              </w:rPr>
              <w:t>社科：6万元</w:t>
            </w:r>
          </w:p>
          <w:p>
            <w:pPr>
              <w:keepNext w:val="0"/>
              <w:keepLines w:val="0"/>
              <w:pageBreakBefore w:val="0"/>
              <w:widowControl/>
              <w:kinsoku/>
              <w:wordWrap/>
              <w:overflowPunct/>
              <w:topLinePunct w:val="0"/>
              <w:autoSpaceDE/>
              <w:autoSpaceDN/>
              <w:bidi w:val="0"/>
              <w:adjustRightInd/>
              <w:snapToGrid/>
              <w:jc w:val="left"/>
              <w:textAlignment w:val="auto"/>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理工：8万元</w:t>
            </w:r>
          </w:p>
        </w:tc>
        <w:tc>
          <w:tcPr>
            <w:tcW w:w="0" w:type="auto"/>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cs="Times New Roman" w:asciiTheme="minorEastAsia" w:hAnsiTheme="minorEastAsia"/>
                <w:color w:val="auto"/>
                <w:kern w:val="0"/>
                <w:sz w:val="24"/>
                <w:szCs w:val="24"/>
              </w:rPr>
            </w:pPr>
          </w:p>
        </w:tc>
        <w:tc>
          <w:tcPr>
            <w:tcW w:w="0" w:type="auto"/>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cs="Times New Roman" w:asciiTheme="minorEastAsia" w:hAnsiTheme="minorEastAsia"/>
                <w:color w:val="auto"/>
                <w:kern w:val="0"/>
                <w:sz w:val="24"/>
                <w:szCs w:val="24"/>
              </w:rPr>
            </w:pPr>
          </w:p>
        </w:tc>
      </w:tr>
    </w:tbl>
    <w:p>
      <w:pPr>
        <w:keepNext w:val="0"/>
        <w:keepLines w:val="0"/>
        <w:pageBreakBefore w:val="0"/>
        <w:kinsoku/>
        <w:wordWrap/>
        <w:overflowPunct/>
        <w:topLinePunct w:val="0"/>
        <w:autoSpaceDE/>
        <w:autoSpaceDN/>
        <w:bidi w:val="0"/>
        <w:adjustRightInd/>
        <w:snapToGrid/>
        <w:ind w:left="105" w:leftChars="50" w:firstLine="640" w:firstLineChars="200"/>
        <w:textAlignment w:val="auto"/>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其它待遇：</w:t>
      </w:r>
    </w:p>
    <w:p>
      <w:pPr>
        <w:keepNext w:val="0"/>
        <w:keepLines w:val="0"/>
        <w:pageBreakBefore w:val="0"/>
        <w:kinsoku/>
        <w:wordWrap/>
        <w:overflowPunct/>
        <w:topLinePunct w:val="0"/>
        <w:autoSpaceDE/>
        <w:autoSpaceDN/>
        <w:bidi w:val="0"/>
        <w:adjustRightInd/>
        <w:snapToGrid/>
        <w:ind w:left="105" w:leftChars="50" w:firstLine="640" w:firstLineChars="200"/>
        <w:textAlignment w:val="auto"/>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1.博士享受副教授绩效待遇3年，优秀博士后享受教授绩效待遇3年。</w:t>
      </w:r>
    </w:p>
    <w:p>
      <w:pPr>
        <w:keepNext w:val="0"/>
        <w:keepLines w:val="0"/>
        <w:pageBreakBefore w:val="0"/>
        <w:kinsoku/>
        <w:wordWrap/>
        <w:overflowPunct/>
        <w:topLinePunct w:val="0"/>
        <w:autoSpaceDE/>
        <w:autoSpaceDN/>
        <w:bidi w:val="0"/>
        <w:adjustRightInd/>
        <w:snapToGrid/>
        <w:ind w:left="105" w:leftChars="50" w:firstLine="640" w:firstLineChars="200"/>
        <w:textAlignment w:val="auto"/>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2.根据《安徽财经大学特聘教师岗位聘任与考核管理办法（试行）》，符合相应条件的人才入职后可以聘为安徽财经大学特聘教授、特聘副教授。</w:t>
      </w:r>
    </w:p>
    <w:p>
      <w:pPr>
        <w:keepNext w:val="0"/>
        <w:keepLines w:val="0"/>
        <w:pageBreakBefore w:val="0"/>
        <w:kinsoku/>
        <w:wordWrap/>
        <w:overflowPunct/>
        <w:topLinePunct w:val="0"/>
        <w:autoSpaceDE/>
        <w:autoSpaceDN/>
        <w:bidi w:val="0"/>
        <w:adjustRightInd/>
        <w:snapToGrid/>
        <w:ind w:left="105" w:leftChars="50" w:firstLine="640" w:firstLineChars="200"/>
        <w:textAlignment w:val="auto"/>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3.提供有竞争力的教学科研奖励配套政策。</w:t>
      </w:r>
    </w:p>
    <w:p>
      <w:pPr>
        <w:keepNext w:val="0"/>
        <w:keepLines w:val="0"/>
        <w:pageBreakBefore w:val="0"/>
        <w:kinsoku/>
        <w:wordWrap/>
        <w:overflowPunct/>
        <w:topLinePunct w:val="0"/>
        <w:autoSpaceDE/>
        <w:autoSpaceDN/>
        <w:bidi w:val="0"/>
        <w:adjustRightInd/>
        <w:snapToGrid/>
        <w:ind w:left="105" w:leftChars="50" w:firstLine="640" w:firstLineChars="200"/>
        <w:textAlignment w:val="auto"/>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4.优秀博士可采取龙湖学者方式聘任，特别优秀的博士待遇面议。</w:t>
      </w:r>
    </w:p>
    <w:p>
      <w:pPr>
        <w:keepNext w:val="0"/>
        <w:keepLines w:val="0"/>
        <w:pageBreakBefore w:val="0"/>
        <w:kinsoku/>
        <w:wordWrap/>
        <w:overflowPunct/>
        <w:topLinePunct w:val="0"/>
        <w:autoSpaceDE/>
        <w:autoSpaceDN/>
        <w:bidi w:val="0"/>
        <w:adjustRightInd/>
        <w:snapToGrid/>
        <w:ind w:left="105" w:leftChars="50" w:firstLine="640" w:firstLineChars="200"/>
        <w:textAlignment w:val="auto"/>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5.根据学校有关文件，依据个人条件解决配偶工作问题， 为博士子女入学提供支持。</w:t>
      </w:r>
    </w:p>
    <w:p>
      <w:pPr>
        <w:keepNext w:val="0"/>
        <w:keepLines w:val="0"/>
        <w:pageBreakBefore w:val="0"/>
        <w:kinsoku/>
        <w:wordWrap/>
        <w:overflowPunct/>
        <w:topLinePunct w:val="0"/>
        <w:autoSpaceDE/>
        <w:autoSpaceDN/>
        <w:bidi w:val="0"/>
        <w:adjustRightInd/>
        <w:snapToGrid/>
        <w:ind w:left="105" w:leftChars="50" w:firstLine="640" w:firstLineChars="200"/>
        <w:textAlignment w:val="auto"/>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6.紧缺专业优秀博士增加购房</w:t>
      </w:r>
      <w:r>
        <w:rPr>
          <w:rFonts w:ascii="仿宋_GB2312" w:hAnsi="仿宋" w:eastAsia="仿宋_GB2312" w:cs="宋体"/>
          <w:color w:val="auto"/>
          <w:kern w:val="0"/>
          <w:sz w:val="32"/>
          <w:szCs w:val="32"/>
        </w:rPr>
        <w:t>补贴</w:t>
      </w:r>
      <w:r>
        <w:rPr>
          <w:rFonts w:hint="eastAsia" w:ascii="仿宋_GB2312" w:hAnsi="仿宋" w:eastAsia="仿宋_GB2312" w:cs="宋体"/>
          <w:color w:val="auto"/>
          <w:kern w:val="0"/>
          <w:sz w:val="32"/>
          <w:szCs w:val="32"/>
        </w:rPr>
        <w:t>1</w:t>
      </w:r>
      <w:r>
        <w:rPr>
          <w:rFonts w:ascii="仿宋_GB2312" w:hAnsi="仿宋" w:eastAsia="仿宋_GB2312" w:cs="宋体"/>
          <w:color w:val="auto"/>
          <w:kern w:val="0"/>
          <w:sz w:val="32"/>
          <w:szCs w:val="32"/>
        </w:rPr>
        <w:t>0</w:t>
      </w:r>
      <w:r>
        <w:rPr>
          <w:rFonts w:hint="eastAsia" w:ascii="仿宋_GB2312" w:hAnsi="仿宋" w:eastAsia="仿宋_GB2312" w:cs="宋体"/>
          <w:color w:val="auto"/>
          <w:kern w:val="0"/>
          <w:sz w:val="32"/>
          <w:szCs w:val="32"/>
        </w:rPr>
        <w:t>万元。紧缺</w:t>
      </w:r>
      <w:r>
        <w:rPr>
          <w:rFonts w:ascii="仿宋_GB2312" w:hAnsi="仿宋" w:eastAsia="仿宋_GB2312" w:cs="宋体"/>
          <w:color w:val="auto"/>
          <w:kern w:val="0"/>
          <w:sz w:val="32"/>
          <w:szCs w:val="32"/>
        </w:rPr>
        <w:t>专业</w:t>
      </w:r>
      <w:r>
        <w:rPr>
          <w:rFonts w:hint="eastAsia" w:ascii="仿宋_GB2312" w:hAnsi="仿宋" w:eastAsia="仿宋_GB2312" w:cs="宋体"/>
          <w:color w:val="auto"/>
          <w:kern w:val="0"/>
          <w:sz w:val="32"/>
          <w:szCs w:val="32"/>
        </w:rPr>
        <w:t>指会计学（含财务管理、 审计）、金融学（含保险、金融工程）、</w:t>
      </w:r>
      <w:r>
        <w:rPr>
          <w:rFonts w:ascii="仿宋_GB2312" w:hAnsi="仿宋" w:eastAsia="仿宋_GB2312" w:cs="宋体"/>
          <w:color w:val="auto"/>
          <w:kern w:val="0"/>
          <w:sz w:val="32"/>
          <w:szCs w:val="32"/>
        </w:rPr>
        <w:t>马克思主义理论。</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7.入职三年内，在校定A+级期刊发表论文1篇，增加购房补贴10万元；在A级期刊发表论文1篇，或者申报立项A级纵向科研项目1项，增加购房补贴6万元（其中 SCI/SSCI二区3万元）；在B级期刊发表论文1篇，增加购房补贴2万元（其中 SCI/SSCI 三区1万元）；在C级期刊发表论文2篇以上，每篇增加购房补贴</w:t>
      </w:r>
      <w:r>
        <w:rPr>
          <w:rFonts w:ascii="仿宋_GB2312" w:hAnsi="仿宋" w:eastAsia="仿宋_GB2312" w:cs="宋体"/>
          <w:color w:val="auto"/>
          <w:kern w:val="0"/>
          <w:sz w:val="32"/>
          <w:szCs w:val="32"/>
        </w:rPr>
        <w:t>0.6</w:t>
      </w:r>
      <w:r>
        <w:rPr>
          <w:rFonts w:hint="eastAsia" w:ascii="仿宋_GB2312" w:hAnsi="仿宋" w:eastAsia="仿宋_GB2312" w:cs="宋体"/>
          <w:color w:val="auto"/>
          <w:kern w:val="0"/>
          <w:sz w:val="32"/>
          <w:szCs w:val="32"/>
        </w:rPr>
        <w:t>万元。购房补贴增加总额不超过30万元， 学校科研超工作量正常发放，年薪制（协议工资）、龙湖学者作为目标任务的科研成果不享受该项政策。以上论文成果SCI、SSCI和EI</w:t>
      </w:r>
      <w:r>
        <w:rPr>
          <w:rStyle w:val="7"/>
          <w:rFonts w:hint="default"/>
          <w:color w:val="auto"/>
        </w:rPr>
        <w:t>检索源</w:t>
      </w:r>
      <w:r>
        <w:rPr>
          <w:rFonts w:hint="eastAsia" w:ascii="仿宋_GB2312" w:hAnsi="仿宋" w:eastAsia="仿宋_GB2312" w:cs="宋体"/>
          <w:color w:val="auto"/>
          <w:kern w:val="0"/>
          <w:sz w:val="32"/>
          <w:szCs w:val="32"/>
        </w:rPr>
        <w:t>期刊须是第一作者或通讯作者，其它成果均须为</w:t>
      </w:r>
      <w:r>
        <w:rPr>
          <w:rFonts w:ascii="仿宋_GB2312" w:hAnsi="仿宋" w:eastAsia="仿宋_GB2312" w:cs="宋体"/>
          <w:color w:val="auto"/>
          <w:kern w:val="0"/>
          <w:sz w:val="32"/>
          <w:szCs w:val="32"/>
        </w:rPr>
        <w:t>第一作者或主持人</w:t>
      </w:r>
      <w:r>
        <w:rPr>
          <w:rFonts w:hint="eastAsia" w:ascii="仿宋_GB2312" w:hAnsi="仿宋" w:eastAsia="仿宋_GB2312" w:cs="宋体"/>
          <w:color w:val="auto"/>
          <w:kern w:val="0"/>
          <w:sz w:val="32"/>
          <w:szCs w:val="32"/>
        </w:rPr>
        <w:t>，</w:t>
      </w:r>
      <w:r>
        <w:rPr>
          <w:rFonts w:hint="eastAsia" w:ascii="仿宋_GB2312" w:hAnsi="仿宋" w:eastAsia="仿宋_GB2312" w:cs="宋体"/>
          <w:color w:val="auto"/>
          <w:kern w:val="0"/>
          <w:sz w:val="32"/>
          <w:szCs w:val="32"/>
        </w:rPr>
        <w:t>且所有</w:t>
      </w:r>
      <w:r>
        <w:rPr>
          <w:rFonts w:ascii="仿宋_GB2312" w:hAnsi="仿宋" w:eastAsia="仿宋_GB2312" w:cs="宋体"/>
          <w:color w:val="auto"/>
          <w:kern w:val="0"/>
          <w:sz w:val="32"/>
          <w:szCs w:val="32"/>
        </w:rPr>
        <w:t>成果</w:t>
      </w:r>
      <w:r>
        <w:rPr>
          <w:rFonts w:hint="eastAsia" w:ascii="仿宋_GB2312" w:hAnsi="仿宋" w:eastAsia="仿宋_GB2312" w:cs="宋体"/>
          <w:color w:val="auto"/>
          <w:kern w:val="0"/>
          <w:sz w:val="32"/>
          <w:szCs w:val="32"/>
        </w:rPr>
        <w:t>须</w:t>
      </w:r>
      <w:r>
        <w:rPr>
          <w:rFonts w:ascii="仿宋_GB2312" w:hAnsi="仿宋" w:eastAsia="仿宋_GB2312" w:cs="宋体"/>
          <w:color w:val="auto"/>
          <w:kern w:val="0"/>
          <w:sz w:val="32"/>
          <w:szCs w:val="32"/>
        </w:rPr>
        <w:t>以</w:t>
      </w:r>
      <w:r>
        <w:rPr>
          <w:rStyle w:val="7"/>
          <w:rFonts w:hint="default"/>
          <w:color w:val="auto"/>
        </w:rPr>
        <w:t>安徽财经大学为第一署名单位</w:t>
      </w:r>
      <w:r>
        <w:rPr>
          <w:rFonts w:ascii="仿宋_GB2312" w:hAnsi="仿宋" w:eastAsia="仿宋_GB2312" w:cs="宋体"/>
          <w:color w:val="auto"/>
          <w:kern w:val="0"/>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FZXBSJW--GB1-0">
    <w:altName w:val="Times New Roman"/>
    <w:panose1 w:val="00000000000000000000"/>
    <w:charset w:val="00"/>
    <w:family w:val="roman"/>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DA2"/>
    <w:rsid w:val="000C72A0"/>
    <w:rsid w:val="001871F8"/>
    <w:rsid w:val="00195B7E"/>
    <w:rsid w:val="001E4E2D"/>
    <w:rsid w:val="00226C61"/>
    <w:rsid w:val="002B31B8"/>
    <w:rsid w:val="002F7DA2"/>
    <w:rsid w:val="003D296F"/>
    <w:rsid w:val="0043603D"/>
    <w:rsid w:val="004E443D"/>
    <w:rsid w:val="005051C6"/>
    <w:rsid w:val="00563CE0"/>
    <w:rsid w:val="0060204E"/>
    <w:rsid w:val="00681664"/>
    <w:rsid w:val="007B0EC0"/>
    <w:rsid w:val="007E382C"/>
    <w:rsid w:val="007E6978"/>
    <w:rsid w:val="00920089"/>
    <w:rsid w:val="009F5142"/>
    <w:rsid w:val="00AD5163"/>
    <w:rsid w:val="00B27EFF"/>
    <w:rsid w:val="00C9679C"/>
    <w:rsid w:val="00CC4F7C"/>
    <w:rsid w:val="00CD7A25"/>
    <w:rsid w:val="00D23E5D"/>
    <w:rsid w:val="00D76169"/>
    <w:rsid w:val="00DB183A"/>
    <w:rsid w:val="00DB76E6"/>
    <w:rsid w:val="00E862C9"/>
    <w:rsid w:val="00F36F7A"/>
    <w:rsid w:val="00F83851"/>
    <w:rsid w:val="00FB4581"/>
    <w:rsid w:val="25A74CA4"/>
    <w:rsid w:val="6E716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fontstyle01"/>
    <w:basedOn w:val="6"/>
    <w:qFormat/>
    <w:uiPriority w:val="0"/>
    <w:rPr>
      <w:rFonts w:hint="eastAsia" w:ascii="仿宋_GB2312" w:eastAsia="仿宋_GB2312"/>
      <w:color w:val="000000"/>
      <w:sz w:val="32"/>
      <w:szCs w:val="32"/>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224</Words>
  <Characters>1283</Characters>
  <Lines>10</Lines>
  <Paragraphs>3</Paragraphs>
  <TotalTime>2</TotalTime>
  <ScaleCrop>false</ScaleCrop>
  <LinksUpToDate>false</LinksUpToDate>
  <CharactersWithSpaces>1504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2021-12-20T02:58:00Z</dcterms:created>
  <dc:creator>刘朝新</dc:creator>
  <cp:lastModifiedBy>Loong.W</cp:lastModifiedBy>
  <cp:lastPrinted>2021-12-20T01:05:00Z</cp:lastPrinted>
  <dcterms:modified xsi:type="dcterms:W3CDTF">2021-12-29T08:56:29Z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4EDC1E9AC6EA460B8856DF3A5C8A674A</vt:lpwstr>
  </property>
</Properties>
</file>